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6F" w:rsidRDefault="0077456F" w:rsidP="0077456F">
      <w:pPr>
        <w:widowControl w:val="0"/>
        <w:autoSpaceDE w:val="0"/>
        <w:autoSpaceDN w:val="0"/>
        <w:adjustRightInd w:val="0"/>
        <w:spacing w:after="0" w:line="240" w:lineRule="auto"/>
        <w:rPr>
          <w:rFonts w:ascii="Arial" w:hAnsi="Arial" w:cs="Arial"/>
        </w:rPr>
      </w:pPr>
      <w:bookmarkStart w:id="0" w:name="_GoBack"/>
      <w:bookmarkEnd w:id="0"/>
      <w:r>
        <w:rPr>
          <w:rFonts w:ascii="Arial" w:hAnsi="Arial" w:cs="Arial"/>
        </w:rPr>
        <w:t>An assessment of CFSv2 performance in seasonal hindcast</w:t>
      </w:r>
    </w:p>
    <w:p w:rsidR="0077456F" w:rsidRDefault="0077456F" w:rsidP="0077456F">
      <w:pPr>
        <w:widowControl w:val="0"/>
        <w:autoSpaceDE w:val="0"/>
        <w:autoSpaceDN w:val="0"/>
        <w:adjustRightInd w:val="0"/>
        <w:spacing w:after="0" w:line="240" w:lineRule="auto"/>
        <w:rPr>
          <w:rFonts w:ascii="Arial" w:hAnsi="Arial" w:cs="Arial"/>
        </w:rPr>
      </w:pPr>
    </w:p>
    <w:p w:rsidR="0077456F" w:rsidRPr="002E5681" w:rsidRDefault="0077456F" w:rsidP="0077456F">
      <w:pPr>
        <w:rPr>
          <w:rFonts w:ascii="Arial" w:hAnsi="Arial" w:cs="Arial"/>
          <w:i/>
        </w:rPr>
      </w:pPr>
      <w:r w:rsidRPr="002E5681">
        <w:rPr>
          <w:rFonts w:ascii="Arial" w:hAnsi="Arial" w:cs="Arial"/>
          <w:i/>
        </w:rPr>
        <w:t xml:space="preserve">Peitao Peng, </w:t>
      </w:r>
      <w:r>
        <w:rPr>
          <w:rFonts w:ascii="Arial" w:hAnsi="Arial" w:cs="Arial"/>
          <w:i/>
        </w:rPr>
        <w:t>Arun Kumar, Wanqiu Wang, and Mingyue Chen</w:t>
      </w:r>
    </w:p>
    <w:p w:rsidR="0077456F" w:rsidRPr="002E5681" w:rsidRDefault="0077456F" w:rsidP="0077456F">
      <w:pPr>
        <w:rPr>
          <w:rFonts w:ascii="Arial" w:hAnsi="Arial" w:cs="Arial"/>
        </w:rPr>
      </w:pPr>
      <w:r w:rsidRPr="002E5681">
        <w:rPr>
          <w:rFonts w:ascii="Arial" w:hAnsi="Arial" w:cs="Arial"/>
        </w:rPr>
        <w:t>Tel: (301) 763-8000 x 7507</w:t>
      </w:r>
    </w:p>
    <w:p w:rsidR="0077456F" w:rsidRPr="002E5681" w:rsidRDefault="0077456F" w:rsidP="0077456F">
      <w:pPr>
        <w:rPr>
          <w:rFonts w:ascii="Arial" w:hAnsi="Arial" w:cs="Arial"/>
        </w:rPr>
      </w:pPr>
      <w:r w:rsidRPr="002E5681">
        <w:rPr>
          <w:rFonts w:ascii="Arial" w:hAnsi="Arial" w:cs="Arial"/>
        </w:rPr>
        <w:t>Fax: (301) 763-8125</w:t>
      </w:r>
    </w:p>
    <w:p w:rsidR="0077456F" w:rsidRPr="002E5681" w:rsidRDefault="0077456F" w:rsidP="0077456F">
      <w:pPr>
        <w:rPr>
          <w:rFonts w:ascii="Arial" w:hAnsi="Arial" w:cs="Arial"/>
        </w:rPr>
      </w:pPr>
      <w:r w:rsidRPr="002E5681">
        <w:rPr>
          <w:rFonts w:ascii="Arial" w:hAnsi="Arial" w:cs="Arial"/>
        </w:rPr>
        <w:t>CPC/NCEP/NOAA</w:t>
      </w:r>
    </w:p>
    <w:p w:rsidR="0077456F" w:rsidRPr="002E5681" w:rsidRDefault="0077456F" w:rsidP="0077456F">
      <w:r w:rsidRPr="002E5681">
        <w:rPr>
          <w:rFonts w:ascii="Arial" w:hAnsi="Arial" w:cs="Arial"/>
        </w:rPr>
        <w:t>Abstract</w:t>
      </w:r>
    </w:p>
    <w:p w:rsidR="0077456F" w:rsidRPr="00E602C2" w:rsidRDefault="0077456F" w:rsidP="0077456F">
      <w:pPr>
        <w:widowControl w:val="0"/>
        <w:autoSpaceDE w:val="0"/>
        <w:autoSpaceDN w:val="0"/>
        <w:adjustRightInd w:val="0"/>
        <w:spacing w:after="0" w:line="240" w:lineRule="auto"/>
        <w:rPr>
          <w:rFonts w:ascii="Arial" w:eastAsia="SimSun" w:hAnsi="Arial" w:cs="Arial"/>
        </w:rPr>
      </w:pPr>
      <w:r>
        <w:rPr>
          <w:rFonts w:ascii="Arial" w:hAnsi="Arial" w:cs="Arial"/>
        </w:rPr>
        <w:t>In this study, the performance of CFSv2 in seasonal hindcast for US surface air temperature and precipitation is assessed. The assessment includes the examination of the hindcast skill in terms of categorical deterministic and probabilistic measures, an attribution analysis of the skill sources, in particular the impact of time evolving CO</w:t>
      </w:r>
      <w:r w:rsidRPr="00880510">
        <w:t>2</w:t>
      </w:r>
      <w:r>
        <w:rPr>
          <w:rFonts w:ascii="Arial" w:hAnsi="Arial" w:cs="Arial"/>
        </w:rPr>
        <w:t xml:space="preserve"> in the model to the trend forecast, and </w:t>
      </w:r>
      <w:r w:rsidRPr="0003084C">
        <w:rPr>
          <w:rFonts w:ascii="Arial" w:hAnsi="Arial" w:cs="Arial"/>
        </w:rPr>
        <w:t xml:space="preserve">the diagnostics of the </w:t>
      </w:r>
      <w:r>
        <w:rPr>
          <w:rFonts w:ascii="Arial" w:hAnsi="Arial" w:cs="Arial"/>
        </w:rPr>
        <w:t>dominant</w:t>
      </w:r>
      <w:r w:rsidRPr="0003084C">
        <w:rPr>
          <w:rFonts w:ascii="Arial" w:hAnsi="Arial" w:cs="Arial"/>
        </w:rPr>
        <w:t xml:space="preserve"> modes of variability and their biases</w:t>
      </w:r>
      <w:r>
        <w:rPr>
          <w:rFonts w:ascii="Arial" w:hAnsi="Arial" w:cs="Arial"/>
        </w:rPr>
        <w:t xml:space="preserve">.  In addition, a comparison with CFSv1 and CPC operational forecast is also conducted.  </w:t>
      </w:r>
    </w:p>
    <w:p w:rsidR="00EE4E04" w:rsidRDefault="00EE4E04"/>
    <w:sectPr w:rsidR="00EE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6F"/>
    <w:rsid w:val="0077456F"/>
    <w:rsid w:val="00C370BC"/>
    <w:rsid w:val="00EE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6F"/>
    <w:rPr>
      <w:rFonts w:eastAsiaTheme="minorEastAsia"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6F"/>
    <w:rPr>
      <w:rFonts w:eastAsiaTheme="minorEastAsia"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Peitao Peng</dc:creator>
  <cp:lastModifiedBy>Jin Huang</cp:lastModifiedBy>
  <cp:revision>2</cp:revision>
  <cp:lastPrinted>2012-02-28T19:19:00Z</cp:lastPrinted>
  <dcterms:created xsi:type="dcterms:W3CDTF">2012-02-28T19:19:00Z</dcterms:created>
  <dcterms:modified xsi:type="dcterms:W3CDTF">2012-02-28T19:19:00Z</dcterms:modified>
</cp:coreProperties>
</file>